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215D9">
      <w:pPr>
        <w:spacing w:line="560" w:lineRule="exact"/>
        <w:ind w:firstLine="0" w:firstLineChars="0"/>
        <w:jc w:val="left"/>
        <w:rPr>
          <w:rStyle w:val="5"/>
          <w:rFonts w:ascii="方正黑体_GBK" w:eastAsia="方正黑体_GBK"/>
          <w:szCs w:val="30"/>
        </w:rPr>
      </w:pPr>
      <w:r>
        <w:rPr>
          <w:rStyle w:val="5"/>
          <w:rFonts w:ascii="方正黑体_GBK" w:eastAsia="方正黑体_GBK"/>
          <w:szCs w:val="30"/>
        </w:rPr>
        <w:t>附件</w:t>
      </w:r>
      <w:r>
        <w:rPr>
          <w:rStyle w:val="5"/>
          <w:rFonts w:eastAsia="方正黑体_GBK" w:cs="Times New Roman"/>
          <w:szCs w:val="30"/>
        </w:rPr>
        <w:t>1</w:t>
      </w:r>
    </w:p>
    <w:p w14:paraId="54DC2701">
      <w:pPr>
        <w:spacing w:line="560" w:lineRule="exact"/>
        <w:ind w:firstLine="880"/>
        <w:jc w:val="center"/>
        <w:rPr>
          <w:rFonts w:ascii="方正小标宋_GBK" w:hAnsi="黑体" w:eastAsia="方正小标宋_GBK" w:cs="Times New Roman"/>
          <w:snapToGrid w:val="0"/>
          <w:kern w:val="0"/>
          <w:sz w:val="44"/>
          <w:szCs w:val="44"/>
        </w:rPr>
      </w:pPr>
    </w:p>
    <w:p w14:paraId="00A71DF5">
      <w:pPr>
        <w:spacing w:line="560" w:lineRule="exact"/>
        <w:ind w:firstLine="880"/>
        <w:jc w:val="center"/>
        <w:rPr>
          <w:rFonts w:ascii="Calibri" w:hAnsi="Calibri" w:eastAsia="方正小标宋_GBK" w:cs="Times New Roman"/>
          <w:sz w:val="44"/>
          <w:szCs w:val="44"/>
        </w:rPr>
      </w:pPr>
      <w:r>
        <w:rPr>
          <w:rFonts w:eastAsia="方正小标宋_GBK" w:cs="Times New Roman"/>
          <w:sz w:val="44"/>
          <w:szCs w:val="44"/>
        </w:rPr>
        <w:t>2026年南京市科普讲解大赛实施方案</w:t>
      </w:r>
    </w:p>
    <w:p w14:paraId="19C724F6">
      <w:pPr>
        <w:widowControl w:val="0"/>
        <w:snapToGrid w:val="0"/>
        <w:spacing w:line="600" w:lineRule="exact"/>
        <w:ind w:firstLine="480"/>
        <w:rPr>
          <w:rFonts w:eastAsia="方正黑体_GBK" w:cs="Times New Roman"/>
          <w:bCs/>
          <w:snapToGrid w:val="0"/>
          <w:kern w:val="0"/>
          <w:sz w:val="24"/>
        </w:rPr>
      </w:pPr>
    </w:p>
    <w:p w14:paraId="4B49C986">
      <w:pPr>
        <w:widowControl w:val="0"/>
        <w:snapToGrid w:val="0"/>
        <w:ind w:firstLine="640"/>
        <w:rPr>
          <w:rFonts w:eastAsia="方正黑体_GBK" w:cs="Times New Roman"/>
          <w:bCs/>
          <w:snapToGrid w:val="0"/>
          <w:kern w:val="0"/>
          <w:szCs w:val="32"/>
        </w:rPr>
      </w:pPr>
      <w:r>
        <w:rPr>
          <w:rFonts w:hint="eastAsia" w:eastAsia="方正黑体_GBK" w:cs="Times New Roman"/>
          <w:bCs/>
          <w:snapToGrid w:val="0"/>
          <w:kern w:val="0"/>
          <w:szCs w:val="32"/>
        </w:rPr>
        <w:t>一、</w:t>
      </w:r>
      <w:r>
        <w:rPr>
          <w:rFonts w:eastAsia="方正黑体_GBK" w:cs="Times New Roman"/>
          <w:bCs/>
          <w:snapToGrid w:val="0"/>
          <w:kern w:val="0"/>
          <w:szCs w:val="32"/>
        </w:rPr>
        <w:t>大赛主题</w:t>
      </w:r>
    </w:p>
    <w:p w14:paraId="6D2590BD">
      <w:pPr>
        <w:ind w:firstLine="640"/>
        <w:rPr>
          <w:rFonts w:cs="Times New Roman"/>
          <w:snapToGrid w:val="0"/>
          <w:kern w:val="0"/>
          <w:szCs w:val="32"/>
        </w:rPr>
      </w:pPr>
      <w:r>
        <w:rPr>
          <w:rFonts w:hint="eastAsia" w:cs="Times New Roman"/>
          <w:snapToGrid w:val="0"/>
          <w:kern w:val="0"/>
          <w:szCs w:val="32"/>
        </w:rPr>
        <w:t>奋进</w:t>
      </w:r>
      <w:r>
        <w:rPr>
          <w:rFonts w:hint="eastAsia" w:cs="Times New Roman"/>
          <w:snapToGrid w:val="0"/>
          <w:kern w:val="0"/>
          <w:szCs w:val="32"/>
          <w:lang w:eastAsia="zh-CN"/>
        </w:rPr>
        <w:t>“</w:t>
      </w:r>
      <w:r>
        <w:rPr>
          <w:rFonts w:hint="eastAsia" w:cs="Times New Roman"/>
          <w:snapToGrid w:val="0"/>
          <w:kern w:val="0"/>
          <w:szCs w:val="32"/>
        </w:rPr>
        <w:t>十五五</w:t>
      </w:r>
      <w:bookmarkStart w:id="1" w:name="_GoBack"/>
      <w:bookmarkEnd w:id="1"/>
      <w:r>
        <w:rPr>
          <w:rFonts w:hint="eastAsia" w:cs="Times New Roman"/>
          <w:snapToGrid w:val="0"/>
          <w:kern w:val="0"/>
          <w:szCs w:val="32"/>
          <w:lang w:eastAsia="zh-CN"/>
        </w:rPr>
        <w:t>”</w:t>
      </w:r>
      <w:r>
        <w:rPr>
          <w:rFonts w:hint="eastAsia" w:cs="Times New Roman"/>
          <w:snapToGrid w:val="0"/>
          <w:kern w:val="0"/>
          <w:szCs w:val="32"/>
        </w:rPr>
        <w:t xml:space="preserve"> 科技谱新篇</w:t>
      </w:r>
    </w:p>
    <w:p w14:paraId="6D724472">
      <w:pPr>
        <w:ind w:firstLine="640"/>
        <w:rPr>
          <w:rFonts w:ascii="方正黑体_GBK" w:hAnsi="方正黑体_GBK" w:eastAsia="方正黑体_GBK" w:cs="方正黑体_GBK"/>
          <w:bCs/>
          <w:snapToGrid w:val="0"/>
          <w:kern w:val="0"/>
          <w:szCs w:val="32"/>
        </w:rPr>
      </w:pPr>
      <w:r>
        <w:rPr>
          <w:rFonts w:hint="eastAsia" w:ascii="方正黑体_GBK" w:hAnsi="方正黑体_GBK" w:eastAsia="方正黑体_GBK" w:cs="方正黑体_GBK"/>
          <w:snapToGrid w:val="0"/>
          <w:kern w:val="0"/>
          <w:szCs w:val="32"/>
        </w:rPr>
        <w:t>二、</w:t>
      </w:r>
      <w:r>
        <w:rPr>
          <w:rFonts w:hint="eastAsia" w:ascii="方正黑体_GBK" w:hAnsi="方正黑体_GBK" w:eastAsia="方正黑体_GBK" w:cs="方正黑体_GBK"/>
          <w:bCs/>
          <w:snapToGrid w:val="0"/>
          <w:kern w:val="0"/>
          <w:szCs w:val="32"/>
        </w:rPr>
        <w:t>赛事组织</w:t>
      </w:r>
    </w:p>
    <w:p w14:paraId="724D34DA">
      <w:pPr>
        <w:widowControl w:val="0"/>
        <w:spacing w:line="590" w:lineRule="exact"/>
        <w:ind w:firstLine="640"/>
        <w:rPr>
          <w:rFonts w:cs="Times New Roman"/>
          <w:snapToGrid w:val="0"/>
          <w:kern w:val="0"/>
          <w:szCs w:val="30"/>
        </w:rPr>
      </w:pPr>
      <w:bookmarkStart w:id="0" w:name="OLE_LINK79"/>
      <w:r>
        <w:rPr>
          <w:rFonts w:hint="eastAsia" w:cs="Times New Roman"/>
          <w:snapToGrid w:val="0"/>
          <w:kern w:val="0"/>
          <w:szCs w:val="30"/>
        </w:rPr>
        <w:t>主办单位：南京市科学技术局、南京市教育局、共青团南京市委员会、南京市科学技术协会。</w:t>
      </w:r>
    </w:p>
    <w:p w14:paraId="54B10BE8">
      <w:pPr>
        <w:ind w:firstLine="640"/>
        <w:rPr>
          <w:rFonts w:cs="Times New Roman"/>
          <w:snapToGrid w:val="0"/>
          <w:kern w:val="0"/>
          <w:szCs w:val="30"/>
        </w:rPr>
      </w:pPr>
      <w:r>
        <w:rPr>
          <w:rFonts w:hint="eastAsia" w:cs="Times New Roman"/>
          <w:snapToGrid w:val="0"/>
          <w:kern w:val="0"/>
          <w:szCs w:val="30"/>
        </w:rPr>
        <w:t>大赛组委会由主办单位和相关承办单位、协办单位共同组成，按照公正、公平、公开原则，开展报名审查、评委推荐、赛事组织和评分颁奖等各项工作。大赛组委会办公室设在南京市科学技术局，负责本次大赛的组织协调工作。</w:t>
      </w:r>
    </w:p>
    <w:bookmarkEnd w:id="0"/>
    <w:p w14:paraId="4768F829">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三、参赛对象</w:t>
      </w:r>
    </w:p>
    <w:p w14:paraId="3AEFEB67">
      <w:pPr>
        <w:widowControl w:val="0"/>
        <w:autoSpaceDE w:val="0"/>
        <w:ind w:firstLine="640"/>
        <w:rPr>
          <w:rFonts w:cs="Times New Roman"/>
          <w:snapToGrid w:val="0"/>
          <w:kern w:val="0"/>
          <w:szCs w:val="32"/>
        </w:rPr>
      </w:pPr>
      <w:r>
        <w:rPr>
          <w:rFonts w:hint="eastAsia" w:cs="Times New Roman"/>
          <w:snapToGrid w:val="0"/>
          <w:kern w:val="0"/>
          <w:szCs w:val="32"/>
        </w:rPr>
        <w:t>参赛选手为科普工作者、专职及兼职科普讲解人员、</w:t>
      </w:r>
      <w:r>
        <w:rPr>
          <w:rFonts w:cs="Times New Roman"/>
          <w:snapToGrid w:val="0"/>
          <w:kern w:val="0"/>
          <w:szCs w:val="32"/>
        </w:rPr>
        <w:t>科学传播爱好者</w:t>
      </w:r>
      <w:r>
        <w:rPr>
          <w:rFonts w:hint="eastAsia" w:cs="Times New Roman"/>
          <w:snapToGrid w:val="0"/>
          <w:kern w:val="0"/>
          <w:szCs w:val="32"/>
        </w:rPr>
        <w:t>等（职业不限，年龄16周岁</w:t>
      </w:r>
      <w:r>
        <w:rPr>
          <w:rFonts w:cs="Times New Roman"/>
          <w:snapToGrid w:val="0"/>
          <w:kern w:val="0"/>
          <w:szCs w:val="32"/>
        </w:rPr>
        <w:t>以上</w:t>
      </w:r>
      <w:r>
        <w:rPr>
          <w:rFonts w:hint="eastAsia" w:cs="Times New Roman"/>
          <w:snapToGrid w:val="0"/>
          <w:kern w:val="0"/>
          <w:szCs w:val="32"/>
        </w:rPr>
        <w:t>），鼓励学校科普辅导员、在宁高校大学生、科技工作者参赛。</w:t>
      </w:r>
    </w:p>
    <w:p w14:paraId="3B858528">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四、赛事安排</w:t>
      </w:r>
    </w:p>
    <w:p w14:paraId="534A6BB1">
      <w:pPr>
        <w:pStyle w:val="6"/>
        <w:spacing w:after="0"/>
        <w:ind w:firstLine="640"/>
        <w:rPr>
          <w:rFonts w:eastAsia="方正黑体_GBK" w:cs="Times New Roman"/>
          <w:bCs/>
          <w:snapToGrid w:val="0"/>
          <w:kern w:val="0"/>
          <w:szCs w:val="32"/>
        </w:rPr>
      </w:pPr>
      <w:r>
        <w:rPr>
          <w:rFonts w:hint="eastAsia" w:cs="Times New Roman"/>
          <w:snapToGrid w:val="0"/>
          <w:kern w:val="0"/>
          <w:szCs w:val="32"/>
        </w:rPr>
        <w:t>比赛</w:t>
      </w:r>
      <w:r>
        <w:rPr>
          <w:rFonts w:cs="Times New Roman"/>
          <w:snapToGrid w:val="0"/>
          <w:kern w:val="0"/>
          <w:szCs w:val="32"/>
        </w:rPr>
        <w:t>分</w:t>
      </w:r>
      <w:r>
        <w:rPr>
          <w:rFonts w:hint="eastAsia" w:cs="Times New Roman"/>
          <w:snapToGrid w:val="0"/>
          <w:kern w:val="0"/>
          <w:szCs w:val="32"/>
        </w:rPr>
        <w:t>初赛、</w:t>
      </w:r>
      <w:r>
        <w:rPr>
          <w:rFonts w:cs="Times New Roman"/>
          <w:snapToGrid w:val="0"/>
          <w:kern w:val="0"/>
          <w:szCs w:val="32"/>
        </w:rPr>
        <w:t>决赛</w:t>
      </w:r>
      <w:r>
        <w:rPr>
          <w:rFonts w:hint="eastAsia" w:cs="Times New Roman"/>
          <w:snapToGrid w:val="0"/>
          <w:kern w:val="0"/>
          <w:szCs w:val="32"/>
        </w:rPr>
        <w:t>两</w:t>
      </w:r>
      <w:r>
        <w:rPr>
          <w:rFonts w:cs="Times New Roman"/>
          <w:snapToGrid w:val="0"/>
          <w:kern w:val="0"/>
          <w:szCs w:val="32"/>
        </w:rPr>
        <w:t>个</w:t>
      </w:r>
      <w:r>
        <w:rPr>
          <w:rFonts w:hint="eastAsia" w:cs="Times New Roman"/>
          <w:snapToGrid w:val="0"/>
          <w:kern w:val="0"/>
          <w:szCs w:val="32"/>
        </w:rPr>
        <w:t>阶段</w:t>
      </w:r>
      <w:r>
        <w:rPr>
          <w:rFonts w:cs="Times New Roman"/>
          <w:snapToGrid w:val="0"/>
          <w:kern w:val="0"/>
          <w:szCs w:val="32"/>
        </w:rPr>
        <w:t>，参赛选手按各赛段</w:t>
      </w:r>
      <w:r>
        <w:rPr>
          <w:rFonts w:hint="eastAsia" w:cs="Times New Roman"/>
          <w:snapToGrid w:val="0"/>
          <w:kern w:val="0"/>
          <w:szCs w:val="32"/>
        </w:rPr>
        <w:t>要求自行组织讲解题目和内容，比赛全程由本人独立完成。</w:t>
      </w:r>
    </w:p>
    <w:p w14:paraId="3A6AE28D">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（一）参赛报名</w:t>
      </w:r>
    </w:p>
    <w:p w14:paraId="11514F0D">
      <w:pPr>
        <w:pStyle w:val="6"/>
        <w:spacing w:after="0"/>
        <w:ind w:firstLine="640"/>
        <w:rPr>
          <w:rFonts w:cs="Times New Roman"/>
          <w:snapToGrid w:val="0"/>
          <w:kern w:val="0"/>
          <w:szCs w:val="32"/>
        </w:rPr>
      </w:pPr>
      <w:r>
        <w:rPr>
          <w:rFonts w:cs="Times New Roman"/>
          <w:snapToGrid w:val="0"/>
          <w:kern w:val="0"/>
          <w:szCs w:val="32"/>
        </w:rPr>
        <w:t>1、报名截止时间：</w:t>
      </w:r>
      <w:r>
        <w:rPr>
          <w:rFonts w:hint="eastAsia" w:cs="Times New Roman"/>
          <w:snapToGrid w:val="0"/>
          <w:kern w:val="0"/>
          <w:szCs w:val="32"/>
        </w:rPr>
        <w:t>2026年9月30日</w:t>
      </w:r>
    </w:p>
    <w:p w14:paraId="3B822A02">
      <w:pPr>
        <w:widowControl w:val="0"/>
        <w:spacing w:line="590" w:lineRule="exact"/>
        <w:ind w:firstLine="640"/>
        <w:rPr>
          <w:rFonts w:cs="Times New Roman"/>
          <w:snapToGrid w:val="0"/>
          <w:kern w:val="0"/>
          <w:szCs w:val="30"/>
        </w:rPr>
      </w:pPr>
      <w:r>
        <w:rPr>
          <w:rFonts w:hint="eastAsia" w:cs="Times New Roman"/>
          <w:snapToGrid w:val="0"/>
          <w:kern w:val="0"/>
          <w:szCs w:val="32"/>
        </w:rPr>
        <w:t>2. 报名方式：</w:t>
      </w:r>
      <w:r>
        <w:rPr>
          <w:rFonts w:hint="eastAsia" w:cs="Times New Roman"/>
          <w:b/>
          <w:snapToGrid w:val="0"/>
          <w:kern w:val="0"/>
          <w:szCs w:val="30"/>
        </w:rPr>
        <w:t>本次大赛由推荐单位统一推荐报名，不接受个人报名。</w:t>
      </w:r>
      <w:r>
        <w:rPr>
          <w:rFonts w:cs="Times New Roman"/>
          <w:snapToGrid w:val="0"/>
          <w:kern w:val="0"/>
          <w:szCs w:val="30"/>
        </w:rPr>
        <w:t>由各</w:t>
      </w:r>
      <w:r>
        <w:rPr>
          <w:rFonts w:hint="eastAsia" w:cs="Times New Roman"/>
          <w:snapToGrid w:val="0"/>
          <w:kern w:val="0"/>
          <w:szCs w:val="30"/>
        </w:rPr>
        <w:t>参赛</w:t>
      </w:r>
      <w:r>
        <w:rPr>
          <w:rFonts w:cs="Times New Roman"/>
          <w:snapToGrid w:val="0"/>
          <w:kern w:val="0"/>
          <w:szCs w:val="30"/>
        </w:rPr>
        <w:t>单位所在区的科技主管部门和市全民科学素质</w:t>
      </w:r>
      <w:r>
        <w:rPr>
          <w:rFonts w:hint="eastAsia" w:cs="Times New Roman"/>
          <w:snapToGrid w:val="0"/>
          <w:kern w:val="0"/>
          <w:szCs w:val="30"/>
        </w:rPr>
        <w:t>工作</w:t>
      </w:r>
      <w:r>
        <w:rPr>
          <w:rFonts w:cs="Times New Roman"/>
          <w:snapToGrid w:val="0"/>
          <w:kern w:val="0"/>
          <w:szCs w:val="30"/>
        </w:rPr>
        <w:t>相关责任单位选拔后推荐参赛</w:t>
      </w:r>
      <w:r>
        <w:rPr>
          <w:rFonts w:hint="eastAsia" w:cs="Times New Roman"/>
          <w:snapToGrid w:val="0"/>
          <w:kern w:val="0"/>
          <w:szCs w:val="30"/>
        </w:rPr>
        <w:t>。</w:t>
      </w:r>
      <w:r>
        <w:rPr>
          <w:rFonts w:hint="eastAsia" w:cs="Times New Roman"/>
          <w:snapToGrid w:val="0"/>
          <w:kern w:val="0"/>
          <w:szCs w:val="32"/>
        </w:rPr>
        <w:t>其中，各区科技主管部门推荐选手不超过5名，其他市级部门推荐选手不超过2名。各参赛</w:t>
      </w:r>
      <w:r>
        <w:rPr>
          <w:rFonts w:cs="Times New Roman"/>
          <w:snapToGrid w:val="0"/>
          <w:kern w:val="0"/>
          <w:szCs w:val="30"/>
        </w:rPr>
        <w:t>单位</w:t>
      </w:r>
      <w:r>
        <w:rPr>
          <w:rFonts w:hint="eastAsia" w:cs="Times New Roman"/>
          <w:snapToGrid w:val="0"/>
          <w:kern w:val="0"/>
          <w:szCs w:val="30"/>
        </w:rPr>
        <w:t>参赛</w:t>
      </w:r>
      <w:r>
        <w:rPr>
          <w:rFonts w:cs="Times New Roman"/>
          <w:snapToGrid w:val="0"/>
          <w:kern w:val="0"/>
          <w:szCs w:val="30"/>
        </w:rPr>
        <w:t>选手不超过2名</w:t>
      </w:r>
      <w:r>
        <w:rPr>
          <w:rFonts w:hint="eastAsia" w:cs="Times New Roman"/>
          <w:snapToGrid w:val="0"/>
          <w:kern w:val="0"/>
          <w:szCs w:val="30"/>
        </w:rPr>
        <w:t>。</w:t>
      </w:r>
    </w:p>
    <w:p w14:paraId="0C41DD92">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（二）初赛</w:t>
      </w:r>
    </w:p>
    <w:p w14:paraId="547223E5">
      <w:pPr>
        <w:pStyle w:val="6"/>
        <w:spacing w:after="0"/>
        <w:ind w:left="640" w:leftChars="200" w:firstLine="0" w:firstLineChars="0"/>
        <w:rPr>
          <w:rFonts w:cs="Times New Roman"/>
          <w:bCs/>
          <w:snapToGrid w:val="0"/>
          <w:kern w:val="0"/>
          <w:szCs w:val="32"/>
        </w:rPr>
      </w:pPr>
      <w:r>
        <w:rPr>
          <w:rFonts w:cs="Times New Roman"/>
          <w:bCs/>
          <w:snapToGrid w:val="0"/>
          <w:kern w:val="0"/>
          <w:szCs w:val="32"/>
        </w:rPr>
        <w:t>1. 初赛时间：</w:t>
      </w:r>
      <w:r>
        <w:rPr>
          <w:rFonts w:hint="eastAsia" w:cs="Times New Roman"/>
          <w:bCs/>
          <w:snapToGrid w:val="0"/>
          <w:kern w:val="0"/>
          <w:szCs w:val="32"/>
        </w:rPr>
        <w:t>2026年10月上旬</w:t>
      </w:r>
    </w:p>
    <w:p w14:paraId="2A0D65EF">
      <w:pPr>
        <w:pStyle w:val="6"/>
        <w:spacing w:after="0"/>
        <w:ind w:left="640" w:leftChars="200" w:firstLine="0" w:firstLineChars="0"/>
        <w:rPr>
          <w:rFonts w:cs="Times New Roman"/>
          <w:bCs/>
          <w:snapToGrid w:val="0"/>
          <w:kern w:val="0"/>
          <w:szCs w:val="32"/>
        </w:rPr>
      </w:pPr>
      <w:r>
        <w:rPr>
          <w:rFonts w:hint="eastAsia" w:cs="Times New Roman"/>
          <w:bCs/>
          <w:snapToGrid w:val="0"/>
          <w:kern w:val="0"/>
          <w:szCs w:val="32"/>
        </w:rPr>
        <w:t xml:space="preserve">2. </w:t>
      </w:r>
      <w:r>
        <w:rPr>
          <w:rFonts w:cs="Times New Roman"/>
          <w:bCs/>
          <w:snapToGrid w:val="0"/>
          <w:kern w:val="0"/>
          <w:szCs w:val="32"/>
        </w:rPr>
        <w:t>初赛方式：视频评选</w:t>
      </w:r>
    </w:p>
    <w:p w14:paraId="300247BF">
      <w:pPr>
        <w:pStyle w:val="6"/>
        <w:spacing w:after="0"/>
        <w:ind w:firstLine="640"/>
        <w:jc w:val="left"/>
        <w:rPr>
          <w:rFonts w:cs="Times New Roman"/>
          <w:snapToGrid w:val="0"/>
          <w:kern w:val="0"/>
          <w:szCs w:val="32"/>
        </w:rPr>
      </w:pPr>
      <w:r>
        <w:rPr>
          <w:rFonts w:hint="eastAsia" w:cs="Times New Roman"/>
          <w:bCs/>
          <w:snapToGrid w:val="0"/>
          <w:kern w:val="0"/>
          <w:szCs w:val="32"/>
        </w:rPr>
        <w:t xml:space="preserve">3. </w:t>
      </w:r>
      <w:r>
        <w:rPr>
          <w:rFonts w:cs="Times New Roman"/>
          <w:bCs/>
          <w:snapToGrid w:val="0"/>
          <w:kern w:val="0"/>
          <w:szCs w:val="32"/>
        </w:rPr>
        <w:t>初赛内容：视频</w:t>
      </w:r>
      <w:r>
        <w:rPr>
          <w:rFonts w:cs="Times New Roman"/>
          <w:snapToGrid w:val="0"/>
          <w:kern w:val="0"/>
          <w:szCs w:val="32"/>
        </w:rPr>
        <w:t>文件限</w:t>
      </w:r>
      <w:r>
        <w:rPr>
          <w:rFonts w:hint="eastAsia" w:cs="Times New Roman"/>
          <w:snapToGrid w:val="0"/>
          <w:kern w:val="0"/>
          <w:szCs w:val="32"/>
        </w:rPr>
        <w:t>时4分钟，由选手根据大赛要求自行确定讲解主题。</w:t>
      </w:r>
      <w:r>
        <w:rPr>
          <w:rFonts w:cs="Times New Roman"/>
          <w:snapToGrid w:val="0"/>
          <w:kern w:val="0"/>
          <w:szCs w:val="32"/>
        </w:rPr>
        <w:t>视频应连续录制，严禁剪辑拼接</w:t>
      </w:r>
      <w:r>
        <w:rPr>
          <w:rFonts w:hint="eastAsia" w:cs="Times New Roman"/>
          <w:snapToGrid w:val="0"/>
          <w:kern w:val="0"/>
          <w:szCs w:val="32"/>
        </w:rPr>
        <w:t>，要求视频统一使用MP4格式，编码选择H.264，画面比例为横屏 16:9，像素尺寸1920x1080，文件大小不超过200M。选手应借助多媒体、实物等多种辅</w:t>
      </w:r>
      <w:r>
        <w:rPr>
          <w:rFonts w:cs="Times New Roman"/>
          <w:snapToGrid w:val="0"/>
          <w:kern w:val="0"/>
          <w:szCs w:val="32"/>
        </w:rPr>
        <w:t>助手段，全身出镜（需可见鞋面）并使用普通话原声进行讲解。</w:t>
      </w:r>
    </w:p>
    <w:p w14:paraId="0528ABEB">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（三）决赛</w:t>
      </w:r>
    </w:p>
    <w:p w14:paraId="013D4085">
      <w:pPr>
        <w:pStyle w:val="6"/>
        <w:spacing w:after="0"/>
        <w:ind w:firstLine="640"/>
        <w:rPr>
          <w:rFonts w:cs="Times New Roman"/>
          <w:bCs/>
          <w:snapToGrid w:val="0"/>
          <w:kern w:val="0"/>
          <w:szCs w:val="32"/>
        </w:rPr>
      </w:pPr>
      <w:r>
        <w:rPr>
          <w:rFonts w:cs="Times New Roman"/>
          <w:bCs/>
          <w:snapToGrid w:val="0"/>
          <w:kern w:val="0"/>
          <w:szCs w:val="32"/>
        </w:rPr>
        <w:t>1、决赛时间：</w:t>
      </w:r>
      <w:r>
        <w:rPr>
          <w:rFonts w:hint="eastAsia" w:cs="Times New Roman"/>
          <w:bCs/>
          <w:snapToGrid w:val="0"/>
          <w:kern w:val="0"/>
          <w:szCs w:val="32"/>
        </w:rPr>
        <w:t>2026年</w:t>
      </w:r>
      <w:r>
        <w:rPr>
          <w:rFonts w:cs="Times New Roman"/>
          <w:bCs/>
          <w:snapToGrid w:val="0"/>
          <w:kern w:val="0"/>
          <w:szCs w:val="32"/>
        </w:rPr>
        <w:t>10月</w:t>
      </w:r>
      <w:r>
        <w:rPr>
          <w:rFonts w:hint="eastAsia" w:cs="Times New Roman"/>
          <w:bCs/>
          <w:snapToGrid w:val="0"/>
          <w:kern w:val="0"/>
          <w:szCs w:val="32"/>
        </w:rPr>
        <w:t>下旬</w:t>
      </w:r>
    </w:p>
    <w:p w14:paraId="36234521">
      <w:pPr>
        <w:pStyle w:val="6"/>
        <w:spacing w:after="0"/>
        <w:ind w:firstLine="640"/>
        <w:rPr>
          <w:rFonts w:cs="Times New Roman"/>
          <w:bCs/>
          <w:snapToGrid w:val="0"/>
          <w:kern w:val="0"/>
          <w:szCs w:val="32"/>
        </w:rPr>
      </w:pPr>
      <w:r>
        <w:rPr>
          <w:rFonts w:cs="Times New Roman"/>
          <w:bCs/>
          <w:snapToGrid w:val="0"/>
          <w:kern w:val="0"/>
          <w:szCs w:val="32"/>
        </w:rPr>
        <w:t>2、决赛方式：线下比赛</w:t>
      </w:r>
    </w:p>
    <w:p w14:paraId="0C323BF1">
      <w:pPr>
        <w:ind w:firstLine="640"/>
        <w:jc w:val="left"/>
        <w:rPr>
          <w:rFonts w:cs="Times New Roman"/>
          <w:snapToGrid w:val="0"/>
          <w:kern w:val="0"/>
          <w:szCs w:val="32"/>
        </w:rPr>
      </w:pPr>
      <w:r>
        <w:rPr>
          <w:rFonts w:cs="Times New Roman"/>
          <w:bCs/>
          <w:snapToGrid w:val="0"/>
          <w:kern w:val="0"/>
          <w:szCs w:val="32"/>
        </w:rPr>
        <w:t>3、决赛内容：由自</w:t>
      </w:r>
      <w:r>
        <w:rPr>
          <w:rFonts w:hint="eastAsia" w:cs="Times New Roman"/>
          <w:snapToGrid w:val="0"/>
          <w:kern w:val="0"/>
          <w:szCs w:val="32"/>
        </w:rPr>
        <w:t>主命题讲解+随机命题讲解两个环节组成。</w:t>
      </w:r>
    </w:p>
    <w:p w14:paraId="5ABF1512">
      <w:pPr>
        <w:widowControl w:val="0"/>
        <w:ind w:firstLine="640"/>
        <w:textAlignment w:val="auto"/>
        <w:rPr>
          <w:rFonts w:cs="Times New Roman"/>
          <w:snapToGrid w:val="0"/>
          <w:kern w:val="0"/>
          <w:szCs w:val="32"/>
        </w:rPr>
      </w:pPr>
      <w:r>
        <w:rPr>
          <w:rFonts w:hint="eastAsia" w:cs="Times New Roman"/>
          <w:snapToGrid w:val="0"/>
          <w:kern w:val="0"/>
          <w:szCs w:val="32"/>
        </w:rPr>
        <w:t>（1）</w:t>
      </w:r>
      <w:r>
        <w:rPr>
          <w:rFonts w:cs="Times New Roman"/>
          <w:snapToGrid w:val="0"/>
          <w:kern w:val="0"/>
          <w:szCs w:val="32"/>
        </w:rPr>
        <w:t>“我讲科学”自主命题讲解</w:t>
      </w:r>
      <w:r>
        <w:rPr>
          <w:rFonts w:hint="eastAsia" w:cs="Times New Roman"/>
          <w:snapToGrid w:val="0"/>
          <w:kern w:val="0"/>
          <w:szCs w:val="32"/>
        </w:rPr>
        <w:t>（限时</w:t>
      </w:r>
      <w:r>
        <w:rPr>
          <w:rFonts w:cs="Times New Roman"/>
          <w:snapToGrid w:val="0"/>
          <w:kern w:val="0"/>
          <w:szCs w:val="32"/>
        </w:rPr>
        <w:t>4</w:t>
      </w:r>
      <w:r>
        <w:rPr>
          <w:rFonts w:hint="eastAsia" w:cs="Times New Roman"/>
          <w:snapToGrid w:val="0"/>
          <w:kern w:val="0"/>
          <w:szCs w:val="32"/>
        </w:rPr>
        <w:t>分钟）</w:t>
      </w:r>
    </w:p>
    <w:p w14:paraId="20276F8C">
      <w:pPr>
        <w:ind w:firstLine="640"/>
        <w:jc w:val="left"/>
        <w:rPr>
          <w:rFonts w:cs="Times New Roman"/>
          <w:snapToGrid w:val="0"/>
          <w:kern w:val="0"/>
          <w:szCs w:val="32"/>
        </w:rPr>
      </w:pPr>
      <w:r>
        <w:rPr>
          <w:rFonts w:cs="Times New Roman"/>
          <w:snapToGrid w:val="0"/>
          <w:kern w:val="0"/>
          <w:szCs w:val="32"/>
        </w:rPr>
        <w:t>由选手自行确定一个科普内容进行讲解</w:t>
      </w:r>
      <w:r>
        <w:rPr>
          <w:rFonts w:hint="eastAsia" w:cs="Times New Roman"/>
          <w:snapToGrid w:val="0"/>
          <w:kern w:val="0"/>
          <w:szCs w:val="32"/>
        </w:rPr>
        <w:t>，</w:t>
      </w:r>
      <w:r>
        <w:rPr>
          <w:rFonts w:cs="Times New Roman"/>
          <w:snapToGrid w:val="0"/>
          <w:kern w:val="0"/>
          <w:szCs w:val="32"/>
        </w:rPr>
        <w:t>内容须突出科学性</w:t>
      </w:r>
      <w:r>
        <w:rPr>
          <w:rFonts w:hint="eastAsia" w:cs="Times New Roman"/>
          <w:snapToGrid w:val="0"/>
          <w:kern w:val="0"/>
          <w:szCs w:val="32"/>
        </w:rPr>
        <w:t>、通俗性、时效性，</w:t>
      </w:r>
      <w:r>
        <w:rPr>
          <w:rFonts w:cs="Times New Roman"/>
          <w:snapToGrid w:val="0"/>
          <w:kern w:val="0"/>
          <w:szCs w:val="32"/>
        </w:rPr>
        <w:t>选手可选择沿用</w:t>
      </w:r>
      <w:r>
        <w:rPr>
          <w:rFonts w:hint="eastAsia" w:cs="Times New Roman"/>
          <w:snapToGrid w:val="0"/>
          <w:kern w:val="0"/>
          <w:szCs w:val="32"/>
        </w:rPr>
        <w:t>初</w:t>
      </w:r>
      <w:r>
        <w:rPr>
          <w:rFonts w:cs="Times New Roman"/>
          <w:snapToGrid w:val="0"/>
          <w:kern w:val="0"/>
          <w:szCs w:val="32"/>
        </w:rPr>
        <w:t>赛自主命题讲解内容，同时鼓励选手围绕南京科技创新前沿动态、重大成果、杰出贡献等，讲好南京科创故事、传播新锐科普知识。</w:t>
      </w:r>
    </w:p>
    <w:p w14:paraId="1E22764F">
      <w:pPr>
        <w:widowControl w:val="0"/>
        <w:ind w:firstLine="640"/>
        <w:textAlignment w:val="auto"/>
        <w:rPr>
          <w:rFonts w:cs="Times New Roman"/>
          <w:snapToGrid w:val="0"/>
          <w:kern w:val="0"/>
          <w:szCs w:val="32"/>
        </w:rPr>
      </w:pPr>
      <w:r>
        <w:rPr>
          <w:rFonts w:hint="eastAsia" w:cs="Times New Roman"/>
          <w:snapToGrid w:val="0"/>
          <w:kern w:val="0"/>
          <w:szCs w:val="32"/>
        </w:rPr>
        <w:t>（2）随机</w:t>
      </w:r>
      <w:r>
        <w:rPr>
          <w:rFonts w:cs="Times New Roman"/>
          <w:snapToGrid w:val="0"/>
          <w:kern w:val="0"/>
          <w:szCs w:val="32"/>
        </w:rPr>
        <w:t>命题讲解</w:t>
      </w:r>
      <w:r>
        <w:rPr>
          <w:rFonts w:hint="eastAsia" w:cs="Times New Roman"/>
          <w:snapToGrid w:val="0"/>
          <w:kern w:val="0"/>
          <w:szCs w:val="32"/>
        </w:rPr>
        <w:t>（限时2分钟）</w:t>
      </w:r>
    </w:p>
    <w:p w14:paraId="67E42A52">
      <w:pPr>
        <w:pStyle w:val="6"/>
        <w:spacing w:after="0"/>
        <w:ind w:firstLine="640"/>
        <w:rPr>
          <w:szCs w:val="32"/>
        </w:rPr>
      </w:pPr>
      <w:r>
        <w:rPr>
          <w:rFonts w:hint="eastAsia" w:cs="Times New Roman"/>
          <w:snapToGrid w:val="0"/>
          <w:kern w:val="0"/>
          <w:szCs w:val="32"/>
        </w:rPr>
        <w:t>具体内容由选手现场随机抽取确定，在进行看图讲解时，讲解内容应与图片内容密切相关。</w:t>
      </w:r>
    </w:p>
    <w:p w14:paraId="36CF63D0">
      <w:pPr>
        <w:ind w:firstLine="640"/>
        <w:rPr>
          <w:rFonts w:cs="Times New Roman"/>
          <w:snapToGrid w:val="0"/>
          <w:kern w:val="0"/>
          <w:szCs w:val="32"/>
        </w:rPr>
      </w:pPr>
      <w:r>
        <w:rPr>
          <w:rFonts w:hint="eastAsia" w:cs="Times New Roman"/>
          <w:snapToGrid w:val="0"/>
          <w:kern w:val="0"/>
          <w:szCs w:val="32"/>
        </w:rPr>
        <w:t>选手出场时，播放20秒自我介绍视频。该环节不作比赛评分，视频由选手准备。</w:t>
      </w:r>
      <w:r>
        <w:rPr>
          <w:rFonts w:cs="Times New Roman"/>
          <w:snapToGrid w:val="0"/>
          <w:kern w:val="0"/>
          <w:szCs w:val="32"/>
        </w:rPr>
        <w:t>自我介绍视频统一用 MP4等通用编码格式，画面比例 16:9，全高清 1920*1080，文件不大于50MB。</w:t>
      </w:r>
    </w:p>
    <w:p w14:paraId="11B011E5">
      <w:pPr>
        <w:pStyle w:val="6"/>
        <w:numPr>
          <w:ilvl w:val="0"/>
          <w:numId w:val="1"/>
        </w:numPr>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比赛规则及</w:t>
      </w:r>
      <w:r>
        <w:rPr>
          <w:rFonts w:eastAsia="方正黑体_GBK" w:cs="Times New Roman"/>
          <w:bCs/>
          <w:snapToGrid w:val="0"/>
          <w:kern w:val="0"/>
          <w:szCs w:val="32"/>
        </w:rPr>
        <w:t>评分</w:t>
      </w:r>
      <w:r>
        <w:rPr>
          <w:rFonts w:hint="eastAsia" w:eastAsia="方正黑体_GBK" w:cs="Times New Roman"/>
          <w:bCs/>
          <w:snapToGrid w:val="0"/>
          <w:kern w:val="0"/>
          <w:szCs w:val="32"/>
        </w:rPr>
        <w:t>标准</w:t>
      </w:r>
    </w:p>
    <w:p w14:paraId="422643E1">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（一）赛制和评分标准</w:t>
      </w:r>
    </w:p>
    <w:p w14:paraId="293253BE">
      <w:pPr>
        <w:pStyle w:val="6"/>
        <w:spacing w:after="0"/>
        <w:ind w:firstLine="640"/>
        <w:rPr>
          <w:rFonts w:eastAsia="方正黑体_GBK" w:cs="Times New Roman"/>
          <w:bCs/>
          <w:snapToGrid w:val="0"/>
          <w:kern w:val="0"/>
          <w:szCs w:val="32"/>
        </w:rPr>
      </w:pPr>
      <w:r>
        <w:rPr>
          <w:rFonts w:hint="eastAsia" w:cs="Times New Roman"/>
          <w:snapToGrid w:val="0"/>
          <w:kern w:val="0"/>
          <w:szCs w:val="32"/>
        </w:rPr>
        <w:t>初赛由大赛组委会组织专家对初赛选手报送的“自主命题讲解”</w:t>
      </w:r>
      <w:r>
        <w:rPr>
          <w:rFonts w:cs="Times New Roman"/>
          <w:snapToGrid w:val="0"/>
          <w:kern w:val="0"/>
          <w:szCs w:val="32"/>
        </w:rPr>
        <w:t>视频进行评审打分，</w:t>
      </w:r>
      <w:r>
        <w:rPr>
          <w:rFonts w:hint="eastAsia" w:cs="Times New Roman"/>
          <w:snapToGrid w:val="0"/>
          <w:kern w:val="0"/>
          <w:szCs w:val="32"/>
        </w:rPr>
        <w:t>选手</w:t>
      </w:r>
      <w:r>
        <w:rPr>
          <w:rFonts w:cs="Times New Roman"/>
          <w:snapToGrid w:val="0"/>
          <w:kern w:val="0"/>
          <w:szCs w:val="32"/>
        </w:rPr>
        <w:t>按分数高低排序产生</w:t>
      </w:r>
      <w:r>
        <w:rPr>
          <w:rFonts w:hint="eastAsia" w:cs="Times New Roman"/>
          <w:snapToGrid w:val="0"/>
          <w:kern w:val="0"/>
          <w:szCs w:val="32"/>
        </w:rPr>
        <w:t>前20</w:t>
      </w:r>
      <w:r>
        <w:rPr>
          <w:rFonts w:cs="Times New Roman"/>
          <w:snapToGrid w:val="0"/>
          <w:kern w:val="0"/>
          <w:szCs w:val="32"/>
        </w:rPr>
        <w:t>名左右选手晋级决赛；</w:t>
      </w:r>
      <w:r>
        <w:rPr>
          <w:rFonts w:hint="eastAsia" w:cs="Times New Roman"/>
          <w:snapToGrid w:val="0"/>
          <w:kern w:val="0"/>
          <w:szCs w:val="32"/>
        </w:rPr>
        <w:t>决赛20名选手佩戴号码牌上场，依次进行自主命题讲解、随机命题讲解。</w:t>
      </w:r>
    </w:p>
    <w:p w14:paraId="0B97E797">
      <w:pPr>
        <w:ind w:firstLine="640"/>
        <w:jc w:val="left"/>
        <w:rPr>
          <w:rFonts w:cs="Times New Roman"/>
          <w:snapToGrid w:val="0"/>
          <w:kern w:val="0"/>
          <w:szCs w:val="32"/>
        </w:rPr>
      </w:pPr>
      <w:r>
        <w:rPr>
          <w:rFonts w:hint="eastAsia" w:cs="Times New Roman"/>
          <w:snapToGrid w:val="0"/>
          <w:kern w:val="0"/>
          <w:szCs w:val="32"/>
        </w:rPr>
        <w:t>自主命题讲解和随机命题讲解主题内容须以《中国公民科</w:t>
      </w:r>
      <w:r>
        <w:rPr>
          <w:rFonts w:cs="Times New Roman"/>
          <w:snapToGrid w:val="0"/>
          <w:kern w:val="0"/>
          <w:szCs w:val="32"/>
        </w:rPr>
        <w:t>学素质基准》中的自然科学和社会科学知识为主，内容必须包含自然科学和技术知识，否则不得分。</w:t>
      </w:r>
    </w:p>
    <w:p w14:paraId="00717BD2">
      <w:pPr>
        <w:pStyle w:val="6"/>
        <w:spacing w:after="0"/>
        <w:ind w:firstLine="643"/>
        <w:rPr>
          <w:rFonts w:eastAsia="方正黑体_GBK" w:cs="Times New Roman"/>
          <w:bCs/>
          <w:snapToGrid w:val="0"/>
          <w:kern w:val="0"/>
          <w:szCs w:val="32"/>
        </w:rPr>
      </w:pPr>
      <w:r>
        <w:rPr>
          <w:rFonts w:cs="Times New Roman"/>
          <w:b/>
          <w:snapToGrid w:val="0"/>
          <w:kern w:val="0"/>
          <w:szCs w:val="32"/>
        </w:rPr>
        <w:t>1.</w:t>
      </w:r>
      <w:r>
        <w:rPr>
          <w:rFonts w:hint="eastAsia" w:ascii="方正仿宋_GBK" w:hAnsi="方正仿宋_GBK" w:cs="方正仿宋_GBK"/>
          <w:b/>
          <w:snapToGrid w:val="0"/>
          <w:kern w:val="0"/>
          <w:szCs w:val="32"/>
        </w:rPr>
        <w:t>初赛</w:t>
      </w:r>
      <w:r>
        <w:rPr>
          <w:rFonts w:hint="eastAsia" w:eastAsia="方正黑体_GBK" w:cs="Times New Roman"/>
          <w:bCs/>
          <w:snapToGrid w:val="0"/>
          <w:kern w:val="0"/>
          <w:szCs w:val="32"/>
        </w:rPr>
        <w:t>（100分）</w:t>
      </w:r>
    </w:p>
    <w:p w14:paraId="4410D993">
      <w:pPr>
        <w:ind w:firstLine="640"/>
        <w:jc w:val="left"/>
        <w:rPr>
          <w:rFonts w:cs="Times New Roman"/>
          <w:snapToGrid w:val="0"/>
          <w:kern w:val="0"/>
          <w:szCs w:val="32"/>
        </w:rPr>
      </w:pPr>
      <w:r>
        <w:rPr>
          <w:rFonts w:cs="Times New Roman"/>
          <w:snapToGrid w:val="0"/>
          <w:kern w:val="0"/>
          <w:szCs w:val="32"/>
        </w:rPr>
        <w:t xml:space="preserve">科学准确、重点突出（20 分）； </w:t>
      </w:r>
    </w:p>
    <w:p w14:paraId="4AF176DE">
      <w:pPr>
        <w:ind w:firstLine="640"/>
        <w:jc w:val="left"/>
        <w:rPr>
          <w:rFonts w:cs="Times New Roman"/>
          <w:snapToGrid w:val="0"/>
          <w:kern w:val="0"/>
          <w:szCs w:val="32"/>
        </w:rPr>
      </w:pPr>
      <w:r>
        <w:rPr>
          <w:rFonts w:cs="Times New Roman"/>
          <w:snapToGrid w:val="0"/>
          <w:kern w:val="0"/>
          <w:szCs w:val="32"/>
        </w:rPr>
        <w:t xml:space="preserve">主次分明、详简得当（15 分）； </w:t>
      </w:r>
    </w:p>
    <w:p w14:paraId="7CD45809">
      <w:pPr>
        <w:ind w:firstLine="640"/>
        <w:jc w:val="left"/>
        <w:rPr>
          <w:rFonts w:cs="Times New Roman"/>
          <w:snapToGrid w:val="0"/>
          <w:kern w:val="0"/>
          <w:szCs w:val="32"/>
        </w:rPr>
      </w:pPr>
      <w:r>
        <w:rPr>
          <w:rFonts w:cs="Times New Roman"/>
          <w:snapToGrid w:val="0"/>
          <w:kern w:val="0"/>
          <w:szCs w:val="32"/>
        </w:rPr>
        <w:t xml:space="preserve">层次清楚、合乎逻辑（15 分）； </w:t>
      </w:r>
    </w:p>
    <w:p w14:paraId="485D3741">
      <w:pPr>
        <w:ind w:firstLine="640"/>
        <w:jc w:val="left"/>
        <w:rPr>
          <w:rFonts w:cs="Times New Roman"/>
          <w:snapToGrid w:val="0"/>
          <w:kern w:val="0"/>
          <w:szCs w:val="32"/>
        </w:rPr>
      </w:pPr>
      <w:r>
        <w:rPr>
          <w:rFonts w:cs="Times New Roman"/>
          <w:snapToGrid w:val="0"/>
          <w:kern w:val="0"/>
          <w:szCs w:val="32"/>
        </w:rPr>
        <w:t xml:space="preserve">通俗易懂、深入浅出（20 分）； </w:t>
      </w:r>
    </w:p>
    <w:p w14:paraId="2471A7E5">
      <w:pPr>
        <w:ind w:firstLine="640"/>
        <w:jc w:val="left"/>
        <w:rPr>
          <w:rFonts w:cs="Times New Roman"/>
          <w:snapToGrid w:val="0"/>
          <w:kern w:val="0"/>
          <w:szCs w:val="32"/>
        </w:rPr>
      </w:pPr>
      <w:r>
        <w:rPr>
          <w:rFonts w:cs="Times New Roman"/>
          <w:snapToGrid w:val="0"/>
          <w:kern w:val="0"/>
          <w:szCs w:val="32"/>
        </w:rPr>
        <w:t xml:space="preserve">张弛有度、侧重讲解（15 分）； </w:t>
      </w:r>
    </w:p>
    <w:p w14:paraId="4E4B6939">
      <w:pPr>
        <w:ind w:firstLine="640"/>
        <w:jc w:val="left"/>
        <w:rPr>
          <w:rFonts w:cs="Times New Roman"/>
          <w:snapToGrid w:val="0"/>
          <w:kern w:val="0"/>
          <w:szCs w:val="32"/>
        </w:rPr>
      </w:pPr>
      <w:r>
        <w:rPr>
          <w:rFonts w:cs="Times New Roman"/>
          <w:snapToGrid w:val="0"/>
          <w:kern w:val="0"/>
          <w:szCs w:val="32"/>
        </w:rPr>
        <w:t xml:space="preserve">发音标准、吐字清晰（5 分）； </w:t>
      </w:r>
    </w:p>
    <w:p w14:paraId="7CDB7CD2">
      <w:pPr>
        <w:ind w:firstLine="640"/>
        <w:jc w:val="left"/>
        <w:rPr>
          <w:rFonts w:eastAsia="方正黑体_GBK" w:cs="Times New Roman"/>
          <w:bCs/>
          <w:snapToGrid w:val="0"/>
          <w:kern w:val="0"/>
          <w:szCs w:val="32"/>
        </w:rPr>
      </w:pPr>
      <w:r>
        <w:rPr>
          <w:rFonts w:cs="Times New Roman"/>
          <w:snapToGrid w:val="0"/>
          <w:kern w:val="0"/>
          <w:szCs w:val="32"/>
        </w:rPr>
        <w:t>衣着得体、精神饱满，举止大方、自然协调（10 分）。</w:t>
      </w:r>
    </w:p>
    <w:p w14:paraId="386839BB">
      <w:pPr>
        <w:pStyle w:val="6"/>
        <w:spacing w:after="0"/>
        <w:ind w:firstLine="643"/>
        <w:rPr>
          <w:rFonts w:eastAsia="方正黑体_GBK" w:cs="Times New Roman"/>
          <w:bCs/>
          <w:snapToGrid w:val="0"/>
          <w:kern w:val="0"/>
          <w:szCs w:val="32"/>
        </w:rPr>
      </w:pPr>
      <w:r>
        <w:rPr>
          <w:rFonts w:cs="Times New Roman"/>
          <w:b/>
          <w:snapToGrid w:val="0"/>
          <w:kern w:val="0"/>
          <w:szCs w:val="32"/>
        </w:rPr>
        <w:t>2.决赛</w:t>
      </w:r>
      <w:r>
        <w:rPr>
          <w:rFonts w:hint="eastAsia" w:eastAsia="方正黑体_GBK" w:cs="Times New Roman"/>
          <w:bCs/>
          <w:snapToGrid w:val="0"/>
          <w:kern w:val="0"/>
          <w:szCs w:val="32"/>
        </w:rPr>
        <w:t>（100分）</w:t>
      </w:r>
    </w:p>
    <w:p w14:paraId="04CBDE11">
      <w:pPr>
        <w:ind w:firstLine="640"/>
        <w:jc w:val="left"/>
        <w:rPr>
          <w:rFonts w:cs="Times New Roman"/>
          <w:snapToGrid w:val="0"/>
          <w:kern w:val="0"/>
          <w:szCs w:val="32"/>
        </w:rPr>
      </w:pPr>
      <w:r>
        <w:rPr>
          <w:rFonts w:cs="Times New Roman"/>
          <w:snapToGrid w:val="0"/>
          <w:kern w:val="0"/>
          <w:szCs w:val="32"/>
        </w:rPr>
        <w:t>（1）自主命题讲解（70分）</w:t>
      </w:r>
    </w:p>
    <w:p w14:paraId="09EA1748">
      <w:pPr>
        <w:ind w:firstLine="640"/>
        <w:jc w:val="left"/>
        <w:rPr>
          <w:rFonts w:cs="Times New Roman"/>
          <w:snapToGrid w:val="0"/>
          <w:kern w:val="0"/>
          <w:szCs w:val="32"/>
        </w:rPr>
      </w:pPr>
      <w:r>
        <w:rPr>
          <w:rFonts w:cs="Times New Roman"/>
          <w:snapToGrid w:val="0"/>
          <w:kern w:val="0"/>
          <w:szCs w:val="32"/>
        </w:rPr>
        <w:t>①内容陈述和表达效果（65分），具体为：</w:t>
      </w:r>
    </w:p>
    <w:p w14:paraId="0D67EA04">
      <w:pPr>
        <w:ind w:firstLine="640"/>
        <w:jc w:val="left"/>
        <w:rPr>
          <w:rFonts w:cs="Times New Roman"/>
          <w:snapToGrid w:val="0"/>
          <w:kern w:val="0"/>
          <w:szCs w:val="32"/>
        </w:rPr>
      </w:pPr>
      <w:r>
        <w:rPr>
          <w:rFonts w:cs="Times New Roman"/>
          <w:snapToGrid w:val="0"/>
          <w:kern w:val="0"/>
          <w:szCs w:val="32"/>
        </w:rPr>
        <w:t>科学准确、重点突出（15分）；</w:t>
      </w:r>
    </w:p>
    <w:p w14:paraId="30774D96">
      <w:pPr>
        <w:ind w:firstLine="640"/>
        <w:jc w:val="left"/>
        <w:rPr>
          <w:rFonts w:cs="Times New Roman"/>
          <w:snapToGrid w:val="0"/>
          <w:kern w:val="0"/>
          <w:szCs w:val="32"/>
        </w:rPr>
      </w:pPr>
      <w:r>
        <w:rPr>
          <w:rFonts w:cs="Times New Roman"/>
          <w:snapToGrid w:val="0"/>
          <w:kern w:val="0"/>
          <w:szCs w:val="32"/>
        </w:rPr>
        <w:t>主次分明、详简得当（10分）；</w:t>
      </w:r>
    </w:p>
    <w:p w14:paraId="21A38489">
      <w:pPr>
        <w:ind w:firstLine="640"/>
        <w:jc w:val="left"/>
        <w:rPr>
          <w:rFonts w:cs="Times New Roman"/>
          <w:snapToGrid w:val="0"/>
          <w:kern w:val="0"/>
          <w:szCs w:val="32"/>
        </w:rPr>
      </w:pPr>
      <w:r>
        <w:rPr>
          <w:rFonts w:cs="Times New Roman"/>
          <w:snapToGrid w:val="0"/>
          <w:kern w:val="0"/>
          <w:szCs w:val="32"/>
        </w:rPr>
        <w:t>层次清楚、合乎逻辑（10分）；</w:t>
      </w:r>
    </w:p>
    <w:p w14:paraId="78D9D4C0">
      <w:pPr>
        <w:ind w:firstLine="640"/>
        <w:jc w:val="left"/>
        <w:rPr>
          <w:rFonts w:cs="Times New Roman"/>
          <w:snapToGrid w:val="0"/>
          <w:kern w:val="0"/>
          <w:szCs w:val="32"/>
        </w:rPr>
      </w:pPr>
      <w:r>
        <w:rPr>
          <w:rFonts w:cs="Times New Roman"/>
          <w:snapToGrid w:val="0"/>
          <w:kern w:val="0"/>
          <w:szCs w:val="32"/>
        </w:rPr>
        <w:t>通俗易懂、深入浅出（15分）；</w:t>
      </w:r>
    </w:p>
    <w:p w14:paraId="5646AFC4">
      <w:pPr>
        <w:ind w:firstLine="640"/>
        <w:jc w:val="left"/>
        <w:rPr>
          <w:rFonts w:cs="Times New Roman"/>
          <w:snapToGrid w:val="0"/>
          <w:kern w:val="0"/>
          <w:szCs w:val="32"/>
        </w:rPr>
      </w:pPr>
      <w:r>
        <w:rPr>
          <w:rFonts w:cs="Times New Roman"/>
          <w:snapToGrid w:val="0"/>
          <w:kern w:val="0"/>
          <w:szCs w:val="32"/>
        </w:rPr>
        <w:t>张弛有度、侧重讲解（10分）；</w:t>
      </w:r>
    </w:p>
    <w:p w14:paraId="58CAA25E">
      <w:pPr>
        <w:ind w:firstLine="640"/>
        <w:jc w:val="left"/>
        <w:rPr>
          <w:rFonts w:cs="Times New Roman"/>
          <w:snapToGrid w:val="0"/>
          <w:kern w:val="0"/>
          <w:szCs w:val="32"/>
        </w:rPr>
      </w:pPr>
      <w:r>
        <w:rPr>
          <w:rFonts w:cs="Times New Roman"/>
          <w:snapToGrid w:val="0"/>
          <w:kern w:val="0"/>
          <w:szCs w:val="32"/>
        </w:rPr>
        <w:t>发音标准、吐字清晰（5分）。</w:t>
      </w:r>
    </w:p>
    <w:p w14:paraId="44E2F51A">
      <w:pPr>
        <w:ind w:firstLine="640"/>
        <w:jc w:val="left"/>
        <w:rPr>
          <w:rFonts w:cs="Times New Roman"/>
          <w:snapToGrid w:val="0"/>
          <w:kern w:val="0"/>
          <w:szCs w:val="32"/>
        </w:rPr>
      </w:pPr>
      <w:r>
        <w:rPr>
          <w:rFonts w:cs="Times New Roman"/>
          <w:snapToGrid w:val="0"/>
          <w:kern w:val="0"/>
          <w:szCs w:val="32"/>
        </w:rPr>
        <w:t>②整体形象（5分），体现为：</w:t>
      </w:r>
    </w:p>
    <w:p w14:paraId="71252537">
      <w:pPr>
        <w:ind w:firstLine="640"/>
        <w:jc w:val="left"/>
        <w:rPr>
          <w:rFonts w:cs="Times New Roman"/>
          <w:snapToGrid w:val="0"/>
          <w:kern w:val="0"/>
          <w:szCs w:val="32"/>
        </w:rPr>
      </w:pPr>
      <w:r>
        <w:rPr>
          <w:rFonts w:cs="Times New Roman"/>
          <w:snapToGrid w:val="0"/>
          <w:kern w:val="0"/>
          <w:szCs w:val="32"/>
        </w:rPr>
        <w:t>衣着得体、精神饱满，举止大方、自然协调。</w:t>
      </w:r>
    </w:p>
    <w:p w14:paraId="109B1094">
      <w:pPr>
        <w:ind w:firstLine="640"/>
        <w:jc w:val="left"/>
        <w:rPr>
          <w:rFonts w:cs="Times New Roman"/>
          <w:snapToGrid w:val="0"/>
          <w:kern w:val="0"/>
          <w:szCs w:val="32"/>
        </w:rPr>
      </w:pPr>
      <w:r>
        <w:rPr>
          <w:rFonts w:cs="Times New Roman"/>
          <w:snapToGrid w:val="0"/>
          <w:kern w:val="0"/>
          <w:szCs w:val="32"/>
        </w:rPr>
        <w:t>（2）随机命题（30分）</w:t>
      </w:r>
    </w:p>
    <w:p w14:paraId="509D7946">
      <w:pPr>
        <w:ind w:firstLine="640"/>
        <w:jc w:val="left"/>
        <w:rPr>
          <w:rFonts w:cs="Times New Roman"/>
          <w:snapToGrid w:val="0"/>
          <w:kern w:val="0"/>
          <w:szCs w:val="32"/>
        </w:rPr>
      </w:pPr>
      <w:r>
        <w:rPr>
          <w:rFonts w:cs="Times New Roman"/>
          <w:snapToGrid w:val="0"/>
          <w:kern w:val="0"/>
          <w:szCs w:val="32"/>
        </w:rPr>
        <w:t>①主题立论一致，合乎逻辑（10分）；</w:t>
      </w:r>
    </w:p>
    <w:p w14:paraId="1623816D">
      <w:pPr>
        <w:ind w:firstLine="640"/>
        <w:jc w:val="left"/>
        <w:rPr>
          <w:rFonts w:cs="Times New Roman"/>
          <w:snapToGrid w:val="0"/>
          <w:kern w:val="0"/>
          <w:szCs w:val="32"/>
        </w:rPr>
      </w:pPr>
      <w:r>
        <w:rPr>
          <w:rFonts w:cs="Times New Roman"/>
          <w:snapToGrid w:val="0"/>
          <w:kern w:val="0"/>
          <w:szCs w:val="32"/>
        </w:rPr>
        <w:t>②内容重点突出，生动有趣（10分）；</w:t>
      </w:r>
    </w:p>
    <w:p w14:paraId="09D663B4">
      <w:pPr>
        <w:ind w:firstLine="640"/>
        <w:jc w:val="left"/>
        <w:rPr>
          <w:rFonts w:cs="Times New Roman"/>
          <w:snapToGrid w:val="0"/>
          <w:kern w:val="0"/>
          <w:szCs w:val="32"/>
        </w:rPr>
      </w:pPr>
      <w:r>
        <w:rPr>
          <w:rFonts w:cs="Times New Roman"/>
          <w:snapToGrid w:val="0"/>
          <w:kern w:val="0"/>
          <w:szCs w:val="32"/>
        </w:rPr>
        <w:t>③密切联系生活，特色鲜明（5分）；</w:t>
      </w:r>
    </w:p>
    <w:p w14:paraId="045042FA">
      <w:pPr>
        <w:ind w:firstLine="640"/>
        <w:jc w:val="left"/>
        <w:rPr>
          <w:rFonts w:eastAsia="方正黑体_GBK" w:cs="Times New Roman"/>
          <w:bCs/>
          <w:snapToGrid w:val="0"/>
          <w:kern w:val="0"/>
          <w:szCs w:val="32"/>
        </w:rPr>
      </w:pPr>
      <w:r>
        <w:rPr>
          <w:rFonts w:cs="Times New Roman"/>
          <w:snapToGrid w:val="0"/>
          <w:kern w:val="0"/>
          <w:szCs w:val="32"/>
        </w:rPr>
        <w:t>④讲解思路清晰，语言流畅（5分）。</w:t>
      </w:r>
    </w:p>
    <w:p w14:paraId="2F13E5A2">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（二）用时要求</w:t>
      </w:r>
    </w:p>
    <w:p w14:paraId="367F8689">
      <w:pPr>
        <w:pStyle w:val="2"/>
        <w:widowControl/>
        <w:spacing w:beforeAutospacing="0" w:afterAutospacing="0" w:line="580" w:lineRule="exact"/>
        <w:ind w:firstLine="640" w:firstLineChars="200"/>
        <w:rPr>
          <w:rFonts w:ascii="Times New Roman" w:hAnsi="Times New Roman" w:eastAsia="方正仿宋_GBK"/>
          <w:snapToGrid w:val="0"/>
          <w:sz w:val="32"/>
          <w:szCs w:val="32"/>
        </w:rPr>
      </w:pPr>
      <w:r>
        <w:rPr>
          <w:rFonts w:ascii="Times New Roman" w:hAnsi="Times New Roman" w:eastAsia="方正仿宋_GBK"/>
          <w:snapToGrid w:val="0"/>
          <w:sz w:val="32"/>
          <w:szCs w:val="32"/>
        </w:rPr>
        <w:t>自主命题讲解限时4分钟，不足3分钟扣2分，超时后讲解终止并扣1分。</w:t>
      </w:r>
    </w:p>
    <w:p w14:paraId="076D0ECD">
      <w:pPr>
        <w:pStyle w:val="2"/>
        <w:widowControl/>
        <w:spacing w:beforeAutospacing="0" w:afterAutospacing="0" w:line="580" w:lineRule="exact"/>
        <w:ind w:firstLine="640" w:firstLineChars="200"/>
        <w:rPr>
          <w:rFonts w:eastAsia="方正黑体_GBK"/>
          <w:bCs/>
          <w:snapToGrid w:val="0"/>
          <w:sz w:val="32"/>
          <w:szCs w:val="32"/>
        </w:rPr>
      </w:pPr>
      <w:r>
        <w:rPr>
          <w:rFonts w:ascii="Times New Roman" w:hAnsi="Times New Roman" w:eastAsia="方正仿宋_GBK"/>
          <w:snapToGrid w:val="0"/>
          <w:sz w:val="32"/>
          <w:szCs w:val="32"/>
        </w:rPr>
        <w:t>随机命题讲解限时2分钟，不足1分钟扣2分，超时后讲解终止并扣1分。</w:t>
      </w:r>
    </w:p>
    <w:p w14:paraId="10552F81">
      <w:pPr>
        <w:pStyle w:val="6"/>
        <w:spacing w:after="0"/>
        <w:ind w:left="640" w:leftChars="200" w:firstLine="0" w:firstLineChars="0"/>
        <w:rPr>
          <w:rFonts w:ascii="方正楷体_GBK" w:hAnsi="方正楷体_GBK" w:eastAsia="方正楷体_GBK" w:cs="方正楷体_GBK"/>
          <w:bCs/>
          <w:snapToGrid w:val="0"/>
          <w:kern w:val="0"/>
          <w:szCs w:val="32"/>
        </w:rPr>
      </w:pPr>
      <w:r>
        <w:rPr>
          <w:rFonts w:hint="eastAsia" w:ascii="方正楷体_GBK" w:hAnsi="方正楷体_GBK" w:eastAsia="方正楷体_GBK" w:cs="方正楷体_GBK"/>
          <w:bCs/>
          <w:snapToGrid w:val="0"/>
          <w:kern w:val="0"/>
          <w:szCs w:val="32"/>
        </w:rPr>
        <w:t>（三）评分方式</w:t>
      </w:r>
    </w:p>
    <w:p w14:paraId="02E03D20">
      <w:pPr>
        <w:ind w:firstLine="640"/>
        <w:jc w:val="left"/>
        <w:rPr>
          <w:rFonts w:eastAsia="方正黑体_GBK" w:cs="Times New Roman"/>
          <w:bCs/>
          <w:snapToGrid w:val="0"/>
          <w:kern w:val="0"/>
          <w:szCs w:val="32"/>
        </w:rPr>
      </w:pPr>
      <w:r>
        <w:rPr>
          <w:rFonts w:cs="Times New Roman"/>
          <w:snapToGrid w:val="0"/>
          <w:kern w:val="0"/>
          <w:szCs w:val="32"/>
        </w:rPr>
        <w:t>初赛</w:t>
      </w:r>
      <w:r>
        <w:rPr>
          <w:rFonts w:hint="eastAsia" w:cs="Times New Roman"/>
          <w:snapToGrid w:val="0"/>
          <w:kern w:val="0"/>
          <w:szCs w:val="32"/>
        </w:rPr>
        <w:t>设置</w:t>
      </w:r>
      <w:r>
        <w:rPr>
          <w:rFonts w:cs="Times New Roman"/>
          <w:snapToGrid w:val="0"/>
          <w:kern w:val="0"/>
          <w:szCs w:val="32"/>
        </w:rPr>
        <w:t>5名评委，采用</w:t>
      </w:r>
      <w:r>
        <w:rPr>
          <w:rFonts w:hint="eastAsia" w:cs="Times New Roman"/>
          <w:snapToGrid w:val="0"/>
          <w:kern w:val="0"/>
          <w:szCs w:val="32"/>
        </w:rPr>
        <w:t>视频评选</w:t>
      </w:r>
      <w:r>
        <w:rPr>
          <w:rFonts w:cs="Times New Roman"/>
          <w:snapToGrid w:val="0"/>
          <w:kern w:val="0"/>
          <w:szCs w:val="32"/>
        </w:rPr>
        <w:t>的方式，所有评委打分的平均数为选手的评委评分。将选手的评委评分、用时扣分相加，得出该选手的初赛分数。</w:t>
      </w:r>
    </w:p>
    <w:p w14:paraId="6DAEF57D">
      <w:pPr>
        <w:ind w:firstLine="640"/>
        <w:jc w:val="left"/>
        <w:rPr>
          <w:rFonts w:cs="Times New Roman"/>
          <w:snapToGrid w:val="0"/>
          <w:kern w:val="0"/>
          <w:szCs w:val="32"/>
        </w:rPr>
      </w:pPr>
      <w:r>
        <w:rPr>
          <w:rFonts w:hint="eastAsia" w:cs="Times New Roman"/>
          <w:snapToGrid w:val="0"/>
          <w:kern w:val="0"/>
          <w:szCs w:val="32"/>
        </w:rPr>
        <w:t>决赛设置5名评委，对选手表现进行综合打分，超时由记分员进行扣分记录。</w:t>
      </w:r>
      <w:r>
        <w:rPr>
          <w:rFonts w:cs="Times New Roman"/>
          <w:snapToGrid w:val="0"/>
          <w:kern w:val="0"/>
          <w:szCs w:val="32"/>
        </w:rPr>
        <w:t>打分采用现场打分、亮分和公布成绩的方式，所有评委打分去掉一个最高分和一个最低分后的平均数为选手的评委评分。将选手的评委评分及用时扣分的分数相加，得出该选手的总分数。</w:t>
      </w:r>
    </w:p>
    <w:p w14:paraId="11280AB7">
      <w:pPr>
        <w:ind w:firstLine="640"/>
        <w:jc w:val="left"/>
        <w:rPr>
          <w:szCs w:val="32"/>
        </w:rPr>
      </w:pPr>
      <w:r>
        <w:rPr>
          <w:rFonts w:cs="Times New Roman"/>
          <w:snapToGrid w:val="0"/>
          <w:kern w:val="0"/>
          <w:szCs w:val="32"/>
        </w:rPr>
        <w:t>若遇选手总分数相同则按评委的第二个最高分高低决定名次，若评委的第二个最高分相同则按第三个最高分高低决定名次，以此类推；若遇评委具体打分均相同，则在</w:t>
      </w:r>
      <w:r>
        <w:rPr>
          <w:rFonts w:hint="eastAsia" w:cs="Times New Roman"/>
          <w:snapToGrid w:val="0"/>
          <w:kern w:val="0"/>
          <w:szCs w:val="32"/>
        </w:rPr>
        <w:t>监督组</w:t>
      </w:r>
      <w:r>
        <w:rPr>
          <w:rFonts w:cs="Times New Roman"/>
          <w:snapToGrid w:val="0"/>
          <w:kern w:val="0"/>
          <w:szCs w:val="32"/>
        </w:rPr>
        <w:t>监督下抽签决定名次。</w:t>
      </w:r>
    </w:p>
    <w:p w14:paraId="06E1D599">
      <w:pPr>
        <w:pStyle w:val="6"/>
        <w:numPr>
          <w:ilvl w:val="0"/>
          <w:numId w:val="1"/>
        </w:numPr>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奖项设置</w:t>
      </w:r>
    </w:p>
    <w:p w14:paraId="239D8E01">
      <w:pPr>
        <w:spacing w:line="590" w:lineRule="exact"/>
        <w:ind w:firstLine="640"/>
        <w:rPr>
          <w:rFonts w:cs="Times New Roman"/>
          <w:snapToGrid w:val="0"/>
          <w:kern w:val="0"/>
          <w:szCs w:val="30"/>
        </w:rPr>
      </w:pPr>
      <w:r>
        <w:rPr>
          <w:rFonts w:hint="eastAsia" w:cs="Times New Roman"/>
          <w:snapToGrid w:val="0"/>
          <w:kern w:val="0"/>
          <w:szCs w:val="30"/>
        </w:rPr>
        <w:t>决赛</w:t>
      </w:r>
      <w:r>
        <w:rPr>
          <w:rFonts w:cs="Times New Roman"/>
          <w:snapToGrid w:val="0"/>
          <w:kern w:val="0"/>
          <w:szCs w:val="30"/>
        </w:rPr>
        <w:t>设一等奖、二等奖、三等奖若干名。</w:t>
      </w:r>
    </w:p>
    <w:p w14:paraId="06052B57">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七、比赛监督</w:t>
      </w:r>
    </w:p>
    <w:p w14:paraId="58360A18">
      <w:pPr>
        <w:ind w:firstLine="640"/>
        <w:rPr>
          <w:rFonts w:cs="Times New Roman"/>
          <w:snapToGrid w:val="0"/>
          <w:kern w:val="0"/>
          <w:szCs w:val="32"/>
        </w:rPr>
      </w:pPr>
      <w:r>
        <w:rPr>
          <w:rFonts w:cs="Times New Roman"/>
          <w:snapToGrid w:val="0"/>
          <w:kern w:val="0"/>
          <w:szCs w:val="32"/>
        </w:rPr>
        <w:t>由大赛组委会从科普基地、高校、协会等单位邀请有关专家组成评审委员会，评审专家有广泛代表性。为保证大赛的公平、公正、公开，大赛成立独立监督组对决赛活动进行监督；决赛结果</w:t>
      </w:r>
      <w:r>
        <w:rPr>
          <w:rFonts w:hint="eastAsia" w:cs="Times New Roman"/>
          <w:snapToGrid w:val="0"/>
          <w:kern w:val="0"/>
          <w:szCs w:val="32"/>
        </w:rPr>
        <w:t>将</w:t>
      </w:r>
      <w:r>
        <w:rPr>
          <w:rFonts w:cs="Times New Roman"/>
          <w:snapToGrid w:val="0"/>
          <w:kern w:val="0"/>
          <w:szCs w:val="32"/>
        </w:rPr>
        <w:t>现场确认。</w:t>
      </w:r>
    </w:p>
    <w:p w14:paraId="5E3F2DAF">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八、媒体宣传</w:t>
      </w:r>
    </w:p>
    <w:p w14:paraId="2CD7DB72">
      <w:pPr>
        <w:ind w:firstLine="640"/>
        <w:rPr>
          <w:szCs w:val="32"/>
        </w:rPr>
      </w:pPr>
      <w:r>
        <w:rPr>
          <w:rFonts w:cs="Times New Roman"/>
          <w:snapToGrid w:val="0"/>
          <w:kern w:val="0"/>
          <w:szCs w:val="32"/>
        </w:rPr>
        <w:t>邀请</w:t>
      </w:r>
      <w:r>
        <w:rPr>
          <w:rFonts w:hint="eastAsia" w:cs="Times New Roman"/>
          <w:snapToGrid w:val="0"/>
          <w:kern w:val="0"/>
          <w:szCs w:val="32"/>
        </w:rPr>
        <w:t>相关</w:t>
      </w:r>
      <w:r>
        <w:rPr>
          <w:rFonts w:cs="Times New Roman"/>
          <w:snapToGrid w:val="0"/>
          <w:kern w:val="0"/>
          <w:szCs w:val="32"/>
        </w:rPr>
        <w:t>媒体对此次大赛进行宣传报道。</w:t>
      </w:r>
    </w:p>
    <w:p w14:paraId="16480BA5">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九、决赛现场讲解要求</w:t>
      </w:r>
    </w:p>
    <w:p w14:paraId="539DFC54">
      <w:pPr>
        <w:ind w:firstLine="640"/>
        <w:rPr>
          <w:rFonts w:cs="Times New Roman"/>
          <w:snapToGrid w:val="0"/>
          <w:kern w:val="0"/>
          <w:szCs w:val="32"/>
        </w:rPr>
      </w:pPr>
      <w:r>
        <w:rPr>
          <w:rFonts w:cs="Times New Roman"/>
          <w:snapToGrid w:val="0"/>
          <w:kern w:val="0"/>
          <w:szCs w:val="32"/>
        </w:rPr>
        <w:t>选手讲解时可说明情景</w:t>
      </w:r>
      <w:r>
        <w:rPr>
          <w:rFonts w:hint="eastAsia" w:cs="Times New Roman"/>
          <w:snapToGrid w:val="0"/>
          <w:kern w:val="0"/>
          <w:szCs w:val="32"/>
        </w:rPr>
        <w:t>设置</w:t>
      </w:r>
      <w:r>
        <w:rPr>
          <w:rFonts w:cs="Times New Roman"/>
          <w:snapToGrid w:val="0"/>
          <w:kern w:val="0"/>
          <w:szCs w:val="32"/>
        </w:rPr>
        <w:t>情况，明确讲解对象。现场提供耳麦、手持话筒、遥控器（翻页笔）、用于播放视频或 PPT的电脑，要求选手佩戴耳麦或手持话筒，手持遥控器（翻页笔），全程自行播放 PPT，不得由他人协助。PPT（可配背景音乐）须为 WPS、OFFICE2010 等通用版本，画面比例 16:9，PPT 第</w:t>
      </w:r>
      <w:r>
        <w:rPr>
          <w:rFonts w:hint="eastAsia" w:cs="Times New Roman"/>
          <w:snapToGrid w:val="0"/>
          <w:kern w:val="0"/>
          <w:szCs w:val="32"/>
        </w:rPr>
        <w:t>1</w:t>
      </w:r>
      <w:r>
        <w:rPr>
          <w:rFonts w:cs="Times New Roman"/>
          <w:snapToGrid w:val="0"/>
          <w:kern w:val="0"/>
          <w:szCs w:val="32"/>
        </w:rPr>
        <w:t>页无动作无声音（用于后台画面准备），选手自行操作到第 2 页 开始声音和动作效果，PPT 中若插入视频请使用 MP4 格式，PPT全过程视频大小合计不超过 500MB；自我介绍视频统一用 MP4等通用编码格式，画面比例 16:9，全高清 1920*1080，文件不大于50MB。</w:t>
      </w:r>
    </w:p>
    <w:p w14:paraId="2E670167">
      <w:pPr>
        <w:pStyle w:val="6"/>
        <w:spacing w:after="0"/>
        <w:ind w:firstLine="640"/>
        <w:rPr>
          <w:rFonts w:eastAsia="方正黑体_GBK" w:cs="Times New Roman"/>
          <w:bCs/>
          <w:snapToGrid w:val="0"/>
          <w:kern w:val="0"/>
          <w:szCs w:val="32"/>
        </w:rPr>
      </w:pPr>
      <w:r>
        <w:rPr>
          <w:rFonts w:hint="eastAsia" w:eastAsia="方正黑体_GBK" w:cs="Times New Roman"/>
          <w:bCs/>
          <w:snapToGrid w:val="0"/>
          <w:kern w:val="0"/>
          <w:szCs w:val="32"/>
        </w:rPr>
        <w:t>十、其他</w:t>
      </w:r>
    </w:p>
    <w:p w14:paraId="54822B7F">
      <w:pPr>
        <w:ind w:firstLine="640"/>
        <w:rPr>
          <w:rFonts w:cs="Times New Roman"/>
          <w:snapToGrid w:val="0"/>
          <w:kern w:val="0"/>
          <w:szCs w:val="32"/>
        </w:rPr>
      </w:pPr>
      <w:r>
        <w:rPr>
          <w:rFonts w:cs="Times New Roman"/>
          <w:snapToGrid w:val="0"/>
          <w:kern w:val="0"/>
          <w:szCs w:val="32"/>
        </w:rPr>
        <w:t>本次参赛不收取任何费用。</w:t>
      </w:r>
    </w:p>
    <w:p w14:paraId="2F508710">
      <w:pPr>
        <w:ind w:firstLine="640"/>
        <w:rPr>
          <w:szCs w:val="32"/>
        </w:rPr>
      </w:pPr>
      <w:r>
        <w:rPr>
          <w:rFonts w:cs="Times New Roman"/>
          <w:snapToGrid w:val="0"/>
          <w:kern w:val="0"/>
          <w:szCs w:val="32"/>
        </w:rPr>
        <w:t>大赛主办方保留对活动的最终解释权</w:t>
      </w:r>
      <w:r>
        <w:rPr>
          <w:rFonts w:hint="eastAsia" w:cs="Times New Roman"/>
          <w:snapToGrid w:val="0"/>
          <w:kern w:val="0"/>
          <w:szCs w:val="32"/>
        </w:rPr>
        <w:t>。</w:t>
      </w:r>
    </w:p>
    <w:p w14:paraId="1790E770">
      <w:pPr>
        <w:ind w:firstLine="0" w:firstLineChars="0"/>
      </w:pPr>
    </w:p>
    <w:sectPr>
      <w:pgSz w:w="11906" w:h="16838"/>
      <w:pgMar w:top="1701" w:right="1474" w:bottom="1701"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2929BF-FA53-4FEB-BA5D-2F53C1751E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E74F583-D4A3-4278-998A-83749C3FC618}"/>
  </w:font>
  <w:font w:name="方正仿宋_GBK">
    <w:altName w:val="微软雅黑"/>
    <w:panose1 w:val="03000509000000000000"/>
    <w:charset w:val="86"/>
    <w:family w:val="script"/>
    <w:pitch w:val="default"/>
    <w:sig w:usb0="00000000" w:usb1="00000000" w:usb2="00000010" w:usb3="00000000" w:csb0="00040000" w:csb1="00000000"/>
    <w:embedRegular r:id="rId3" w:fontKey="{238ECA69-7CDF-430E-973A-4AA0C063C9CB}"/>
  </w:font>
  <w:font w:name="方正黑体_GBK">
    <w:altName w:val="微软雅黑"/>
    <w:panose1 w:val="03000509000000000000"/>
    <w:charset w:val="86"/>
    <w:family w:val="script"/>
    <w:pitch w:val="default"/>
    <w:sig w:usb0="00000000" w:usb1="00000000" w:usb2="00000010" w:usb3="00000000" w:csb0="00040000" w:csb1="00000000"/>
    <w:embedRegular r:id="rId4" w:fontKey="{6D6E9A7F-D488-4EFA-8907-B0B61D4D35DD}"/>
  </w:font>
  <w:font w:name="方正小标宋_GBK">
    <w:panose1 w:val="02000000000000000000"/>
    <w:charset w:val="86"/>
    <w:family w:val="script"/>
    <w:pitch w:val="default"/>
    <w:sig w:usb0="A00002BF" w:usb1="38CF7CFA" w:usb2="00082016" w:usb3="00000000" w:csb0="00040001" w:csb1="00000000"/>
    <w:embedRegular r:id="rId5" w:fontKey="{446D5E00-5070-4B94-95E6-02A501466BAA}"/>
  </w:font>
  <w:font w:name="方正楷体_GBK">
    <w:altName w:val="微软雅黑"/>
    <w:panose1 w:val="03000509000000000000"/>
    <w:charset w:val="86"/>
    <w:family w:val="script"/>
    <w:pitch w:val="default"/>
    <w:sig w:usb0="00000000" w:usb1="00000000" w:usb2="00000010" w:usb3="00000000" w:csb0="00040000" w:csb1="00000000"/>
    <w:embedRegular r:id="rId6" w:fontKey="{50C148AE-888B-497F-BFE5-7279AD02696A}"/>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A0B3DB"/>
    <w:multiLevelType w:val="singleLevel"/>
    <w:tmpl w:val="36A0B3D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D2A4E"/>
    <w:rsid w:val="005C61DA"/>
    <w:rsid w:val="00FD2A4E"/>
    <w:rsid w:val="53121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580" w:lineRule="exact"/>
      <w:ind w:firstLine="200" w:firstLineChars="200"/>
      <w:jc w:val="both"/>
      <w:textAlignment w:val="baseline"/>
    </w:pPr>
    <w:rPr>
      <w:rFonts w:ascii="Times New Roman" w:hAnsi="Times New Roman" w:eastAsia="方正仿宋_GBK" w:cstheme="minorBidi"/>
      <w:kern w:val="2"/>
      <w:sz w:val="32"/>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autoRedefine/>
    <w:qFormat/>
    <w:uiPriority w:val="0"/>
    <w:pPr>
      <w:widowControl w:val="0"/>
      <w:spacing w:beforeAutospacing="1" w:afterAutospacing="1" w:line="240" w:lineRule="auto"/>
      <w:ind w:firstLine="0" w:firstLineChars="0"/>
      <w:jc w:val="left"/>
      <w:textAlignment w:val="auto"/>
    </w:pPr>
    <w:rPr>
      <w:rFonts w:ascii="Calibri" w:hAnsi="Calibri" w:eastAsia="宋体" w:cs="Times New Roman"/>
      <w:kern w:val="0"/>
      <w:sz w:val="24"/>
    </w:rPr>
  </w:style>
  <w:style w:type="character" w:customStyle="1" w:styleId="5">
    <w:name w:val="NormalCharacter"/>
    <w:autoRedefine/>
    <w:semiHidden/>
    <w:qFormat/>
    <w:uiPriority w:val="0"/>
  </w:style>
  <w:style w:type="paragraph" w:customStyle="1" w:styleId="6">
    <w:name w:val="BodyText"/>
    <w:basedOn w:val="1"/>
    <w:link w:val="7"/>
    <w:autoRedefine/>
    <w:qFormat/>
    <w:uiPriority w:val="0"/>
    <w:pPr>
      <w:spacing w:after="120"/>
    </w:pPr>
  </w:style>
  <w:style w:type="character" w:customStyle="1" w:styleId="7">
    <w:name w:val="UserStyle_0"/>
    <w:link w:val="6"/>
    <w:autoRedefine/>
    <w:qFormat/>
    <w:uiPriority w:val="0"/>
    <w:rPr>
      <w:rFonts w:ascii="Times New Roman" w:hAnsi="Times New Roman" w:eastAsia="方正仿宋_GBK"/>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2214</Words>
  <Characters>2343</Characters>
  <Lines>17</Lines>
  <Paragraphs>4</Paragraphs>
  <TotalTime>2</TotalTime>
  <ScaleCrop>false</ScaleCrop>
  <LinksUpToDate>false</LinksUpToDate>
  <CharactersWithSpaces>2381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2026-09-10T07:02:00Z</dcterms:created>
  <dc:creator>lenovo</dc:creator>
  <cp:lastModifiedBy>Njtvu</cp:lastModifiedBy>
  <dcterms:modified xsi:type="dcterms:W3CDTF">2026-10-29T01:02:32Z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eyJoZGlkIjoiNDAxNDU1ZGQyMTE4ODYxNzVkNDVmZDVlYzAyMTI2MzMiLCJ1c2VySWQiOiIxNDc3MDY3Mzc2In0=</vt:lpwstr>
  </property>
  <property fmtid="{D5CDD505-2E9C-101B-9397-08002B2CF9AE}" pid="3" name="KSOProductBuildVer">
    <vt:lpwstr>2052-12.1.0.28043</vt:lpwstr>
  </property>
  <property fmtid="{D5CDD505-2E9C-101B-9397-08002B2CF9AE}" pid="4" name="ICV">
    <vt:lpwstr>42969871C5BA4E62BF4FE43044700864_12</vt:lpwstr>
  </property>
</Properties>
</file>